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80" w:lineRule="exact"/>
        <w:jc w:val="center"/>
        <w:rPr>
          <w:rFonts w:ascii="仿宋_GB2312" w:hAnsi="华文中宋"/>
          <w:bCs/>
          <w:sz w:val="36"/>
          <w:szCs w:val="44"/>
        </w:rPr>
      </w:pPr>
    </w:p>
    <w:p>
      <w:pPr>
        <w:snapToGrid w:val="0"/>
        <w:spacing w:line="580" w:lineRule="exact"/>
        <w:jc w:val="center"/>
        <w:rPr>
          <w:rFonts w:ascii="Arial" w:hAnsi="Arial" w:eastAsia="宋体" w:cs="Arial"/>
          <w:b/>
          <w:sz w:val="36"/>
          <w:szCs w:val="44"/>
        </w:rPr>
      </w:pPr>
      <w:r>
        <w:rPr>
          <w:rFonts w:hint="eastAsia" w:ascii="Arial" w:hAnsi="Arial" w:eastAsia="宋体" w:cs="Arial"/>
          <w:b/>
          <w:sz w:val="36"/>
          <w:szCs w:val="44"/>
        </w:rPr>
        <w:t>中央补助地方博物馆纪念馆免费开放专项资金</w:t>
      </w:r>
    </w:p>
    <w:p>
      <w:pPr>
        <w:snapToGrid w:val="0"/>
        <w:spacing w:line="580" w:lineRule="exact"/>
        <w:jc w:val="center"/>
        <w:rPr>
          <w:rFonts w:ascii="宋体" w:hAnsi="宋体" w:eastAsia="宋体" w:cs="宋体"/>
          <w:b/>
          <w:sz w:val="36"/>
          <w:szCs w:val="44"/>
        </w:rPr>
      </w:pPr>
      <w:r>
        <w:rPr>
          <w:rFonts w:hint="eastAsia" w:ascii="宋体" w:hAnsi="宋体" w:eastAsia="宋体" w:cs="宋体"/>
          <w:b/>
          <w:sz w:val="36"/>
          <w:szCs w:val="44"/>
        </w:rPr>
        <w:t>绩效自评报告</w:t>
      </w:r>
    </w:p>
    <w:p>
      <w:pPr>
        <w:snapToGrid w:val="0"/>
        <w:spacing w:line="580" w:lineRule="exact"/>
        <w:ind w:firstLine="600" w:firstLineChars="200"/>
        <w:rPr>
          <w:rFonts w:ascii="仿宋_GB2312"/>
          <w:bCs/>
          <w:szCs w:val="32"/>
        </w:rPr>
      </w:pPr>
    </w:p>
    <w:p>
      <w:pPr>
        <w:snapToGrid w:val="0"/>
        <w:spacing w:line="580" w:lineRule="exact"/>
        <w:ind w:firstLine="600" w:firstLineChars="200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一、绩效目标分解下达情况</w:t>
      </w:r>
    </w:p>
    <w:p>
      <w:pPr>
        <w:snapToGrid w:val="0"/>
        <w:spacing w:line="580" w:lineRule="exact"/>
        <w:ind w:firstLine="600" w:firstLineChars="200"/>
        <w:outlineLvl w:val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根据《中央对地方博物馆纪念馆免费开放补助资金管理办法》规定，每年补助国家自然博物馆专项经费用于保障博物馆免费开放运行，预算金额由财政核定，主要包括基本运转补助和门票收入减少补助。我馆将补助经费主要用于支持博物馆开放运行，保障标本收藏及展示需要，提高科普活动的策划、实施水平，不断拓展展览的深度和广度，全面提升科研、科普工作能力。</w:t>
      </w:r>
    </w:p>
    <w:p>
      <w:pPr>
        <w:snapToGrid w:val="0"/>
        <w:spacing w:line="580" w:lineRule="exact"/>
        <w:ind w:firstLine="600" w:firstLineChars="200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二、绩效情况分析</w:t>
      </w:r>
    </w:p>
    <w:p>
      <w:pPr>
        <w:snapToGrid w:val="0"/>
        <w:spacing w:line="580" w:lineRule="exact"/>
        <w:ind w:firstLine="602" w:firstLineChars="200"/>
        <w:outlineLvl w:val="0"/>
        <w:rPr>
          <w:rFonts w:ascii="仿宋_GB2312" w:hAnsi="仿宋_GB2312" w:cs="仿宋_GB231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（一）资金投入情况分析。</w:t>
      </w:r>
    </w:p>
    <w:p>
      <w:pPr>
        <w:snapToGrid w:val="0"/>
        <w:spacing w:line="580" w:lineRule="exact"/>
        <w:ind w:firstLine="600" w:firstLineChars="200"/>
        <w:outlineLvl w:val="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项目</w:t>
      </w:r>
      <w:r>
        <w:rPr>
          <w:rFonts w:ascii="仿宋_GB2312" w:hAnsi="仿宋_GB2312" w:cs="仿宋_GB2312"/>
          <w:szCs w:val="32"/>
        </w:rPr>
        <w:t>预算</w:t>
      </w:r>
      <w:r>
        <w:rPr>
          <w:rFonts w:hint="eastAsia" w:ascii="仿宋_GB2312" w:hAnsi="仿宋_GB2312" w:cs="仿宋_GB2312"/>
          <w:szCs w:val="32"/>
        </w:rPr>
        <w:t>批复669.00万元</w:t>
      </w:r>
      <w:r>
        <w:rPr>
          <w:rFonts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</w:rPr>
        <w:t>项目</w:t>
      </w:r>
      <w:r>
        <w:rPr>
          <w:rFonts w:ascii="仿宋_GB2312" w:hAnsi="仿宋_GB2312" w:cs="仿宋_GB2312"/>
          <w:szCs w:val="32"/>
        </w:rPr>
        <w:t>资金随同</w:t>
      </w:r>
      <w:r>
        <w:rPr>
          <w:rFonts w:hint="eastAsia" w:ascii="仿宋_GB2312" w:hAnsi="仿宋_GB2312" w:cs="仿宋_GB2312"/>
          <w:szCs w:val="32"/>
        </w:rPr>
        <w:t>2022年单位预算一同拨付下达</w:t>
      </w:r>
      <w:r>
        <w:rPr>
          <w:rFonts w:ascii="仿宋_GB2312" w:hAnsi="仿宋_GB2312" w:cs="仿宋_GB2312"/>
          <w:szCs w:val="32"/>
        </w:rPr>
        <w:t>。</w:t>
      </w:r>
    </w:p>
    <w:p>
      <w:pPr>
        <w:snapToGrid w:val="0"/>
        <w:spacing w:line="580" w:lineRule="exact"/>
        <w:ind w:firstLine="602" w:firstLineChars="200"/>
        <w:outlineLvl w:val="0"/>
        <w:rPr>
          <w:rFonts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（二）资金管理情况分析。</w:t>
      </w:r>
    </w:p>
    <w:p>
      <w:pPr>
        <w:snapToGrid w:val="0"/>
        <w:spacing w:line="580" w:lineRule="exact"/>
        <w:ind w:firstLine="600" w:firstLineChars="200"/>
        <w:outlineLvl w:val="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2022年预算</w:t>
      </w:r>
      <w:r>
        <w:rPr>
          <w:rFonts w:ascii="仿宋_GB2312" w:hAnsi="仿宋_GB2312" w:cs="仿宋_GB2312"/>
          <w:szCs w:val="32"/>
        </w:rPr>
        <w:t>拨款</w:t>
      </w:r>
      <w:r>
        <w:rPr>
          <w:rFonts w:hint="eastAsia" w:ascii="仿宋_GB2312" w:hAnsi="仿宋_GB2312" w:cs="仿宋_GB2312"/>
          <w:szCs w:val="32"/>
        </w:rPr>
        <w:t>669</w:t>
      </w:r>
      <w:r>
        <w:rPr>
          <w:rFonts w:ascii="仿宋_GB2312" w:hAnsi="仿宋_GB2312" w:cs="仿宋_GB2312"/>
          <w:szCs w:val="32"/>
        </w:rPr>
        <w:t>.00</w:t>
      </w:r>
      <w:r>
        <w:rPr>
          <w:rFonts w:hint="eastAsia" w:ascii="仿宋_GB2312" w:hAnsi="仿宋_GB2312" w:cs="仿宋_GB2312"/>
          <w:szCs w:val="32"/>
        </w:rPr>
        <w:t>万元</w:t>
      </w:r>
      <w:r>
        <w:rPr>
          <w:rFonts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</w:rPr>
        <w:t>决算</w:t>
      </w:r>
      <w:r>
        <w:rPr>
          <w:rFonts w:ascii="仿宋_GB2312" w:hAnsi="仿宋_GB2312" w:cs="仿宋_GB2312"/>
          <w:szCs w:val="32"/>
        </w:rPr>
        <w:t>支出</w:t>
      </w:r>
      <w:r>
        <w:rPr>
          <w:rFonts w:hint="eastAsia" w:ascii="仿宋_GB2312" w:hAnsi="仿宋_GB2312" w:cs="仿宋_GB2312"/>
          <w:szCs w:val="32"/>
        </w:rPr>
        <w:t>540.00万元</w:t>
      </w:r>
      <w:r>
        <w:rPr>
          <w:rFonts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</w:rPr>
        <w:t>决算</w:t>
      </w:r>
      <w:r>
        <w:rPr>
          <w:rFonts w:ascii="仿宋_GB2312" w:hAnsi="仿宋_GB2312" w:cs="仿宋_GB2312"/>
          <w:szCs w:val="32"/>
        </w:rPr>
        <w:t>结余</w:t>
      </w:r>
      <w:r>
        <w:rPr>
          <w:rFonts w:hint="eastAsia" w:ascii="仿宋_GB2312" w:hAnsi="仿宋_GB2312" w:cs="仿宋_GB2312"/>
          <w:szCs w:val="32"/>
        </w:rPr>
        <w:t>129</w:t>
      </w:r>
      <w:r>
        <w:rPr>
          <w:rFonts w:ascii="仿宋_GB2312" w:hAnsi="仿宋_GB2312" w:cs="仿宋_GB2312"/>
          <w:szCs w:val="32"/>
        </w:rPr>
        <w:t>.00</w:t>
      </w:r>
      <w:r>
        <w:rPr>
          <w:rFonts w:hint="eastAsia" w:ascii="仿宋_GB2312" w:hAnsi="仿宋_GB2312" w:cs="仿宋_GB2312"/>
          <w:szCs w:val="32"/>
        </w:rPr>
        <w:t>万元</w:t>
      </w:r>
      <w:r>
        <w:rPr>
          <w:rFonts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</w:rPr>
        <w:t>结余</w:t>
      </w:r>
      <w:r>
        <w:rPr>
          <w:rFonts w:ascii="仿宋_GB2312" w:hAnsi="仿宋_GB2312" w:cs="仿宋_GB2312"/>
          <w:szCs w:val="32"/>
        </w:rPr>
        <w:t>资金主要是</w:t>
      </w:r>
      <w:r>
        <w:rPr>
          <w:rFonts w:hint="eastAsia" w:ascii="仿宋_GB2312" w:hAnsi="仿宋_GB2312" w:cs="仿宋_GB2312"/>
          <w:szCs w:val="32"/>
        </w:rPr>
        <w:t>受疫情导致的</w:t>
      </w:r>
      <w:r>
        <w:rPr>
          <w:rFonts w:ascii="仿宋_GB2312" w:hAnsi="仿宋_GB2312" w:cs="仿宋_GB2312"/>
          <w:szCs w:val="32"/>
        </w:rPr>
        <w:t>博物馆闭馆</w:t>
      </w:r>
      <w:r>
        <w:rPr>
          <w:rFonts w:hint="eastAsia" w:ascii="仿宋_GB2312" w:hAnsi="仿宋_GB2312" w:cs="仿宋_GB2312"/>
          <w:szCs w:val="32"/>
        </w:rPr>
        <w:t>、</w:t>
      </w:r>
      <w:r>
        <w:rPr>
          <w:rFonts w:ascii="仿宋_GB2312" w:hAnsi="仿宋_GB2312" w:cs="仿宋_GB2312"/>
          <w:szCs w:val="32"/>
        </w:rPr>
        <w:t>人员封控等不利影响，展览改陈</w:t>
      </w:r>
      <w:r>
        <w:rPr>
          <w:rFonts w:hint="eastAsia" w:ascii="仿宋_GB2312" w:hAnsi="仿宋_GB2312" w:cs="仿宋_GB2312"/>
          <w:szCs w:val="32"/>
        </w:rPr>
        <w:t>项目</w:t>
      </w:r>
      <w:r>
        <w:rPr>
          <w:rFonts w:ascii="仿宋_GB2312" w:hAnsi="仿宋_GB2312" w:cs="仿宋_GB2312"/>
          <w:szCs w:val="32"/>
        </w:rPr>
        <w:t>进度款</w:t>
      </w:r>
      <w:r>
        <w:rPr>
          <w:rFonts w:hint="eastAsia" w:ascii="仿宋_GB2312" w:hAnsi="仿宋_GB2312" w:cs="仿宋_GB2312"/>
          <w:szCs w:val="32"/>
        </w:rPr>
        <w:t>未</w:t>
      </w:r>
      <w:r>
        <w:rPr>
          <w:rFonts w:ascii="仿宋_GB2312" w:hAnsi="仿宋_GB2312" w:cs="仿宋_GB2312"/>
          <w:szCs w:val="32"/>
        </w:rPr>
        <w:t>能按</w:t>
      </w:r>
      <w:r>
        <w:rPr>
          <w:rFonts w:hint="eastAsia" w:ascii="仿宋_GB2312" w:hAnsi="仿宋_GB2312" w:cs="仿宋_GB2312"/>
          <w:szCs w:val="32"/>
        </w:rPr>
        <w:t>计划执行</w:t>
      </w:r>
      <w:r>
        <w:rPr>
          <w:rFonts w:ascii="仿宋_GB2312" w:hAnsi="仿宋_GB2312" w:cs="仿宋_GB2312"/>
          <w:szCs w:val="32"/>
        </w:rPr>
        <w:t>。</w:t>
      </w:r>
    </w:p>
    <w:p>
      <w:pPr>
        <w:snapToGrid w:val="0"/>
        <w:spacing w:line="580" w:lineRule="exact"/>
        <w:ind w:firstLine="602" w:firstLineChars="200"/>
        <w:outlineLvl w:val="0"/>
        <w:rPr>
          <w:rFonts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（三）总体绩效目标完成情况分析。</w:t>
      </w:r>
    </w:p>
    <w:p>
      <w:pPr>
        <w:snapToGrid w:val="0"/>
        <w:spacing w:line="580" w:lineRule="exact"/>
        <w:ind w:firstLine="600" w:firstLineChars="200"/>
        <w:outlineLvl w:val="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严格按照绩效目标申报情况执行预算，按期完成目标规定的数量、质量、效益、满意度指标，切实发挥财政资金的使用绩效，保障了博物馆科研、科普、标本收藏工作的顺利开展。</w:t>
      </w:r>
    </w:p>
    <w:p>
      <w:pPr>
        <w:snapToGrid w:val="0"/>
        <w:spacing w:line="580" w:lineRule="exact"/>
        <w:ind w:firstLine="602" w:firstLineChars="200"/>
        <w:outlineLvl w:val="0"/>
        <w:rPr>
          <w:rFonts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（四）绩效指标完成情况分析。</w:t>
      </w:r>
    </w:p>
    <w:p>
      <w:pPr>
        <w:snapToGrid w:val="0"/>
        <w:spacing w:line="580" w:lineRule="exact"/>
        <w:ind w:firstLine="600" w:firstLineChars="200"/>
        <w:outlineLvl w:val="0"/>
        <w:rPr>
          <w:rFonts w:hint="eastAsia" w:ascii="仿宋_GB2312" w:hAnsi="仿宋_GB2312" w:cs="仿宋_GB2312"/>
          <w:szCs w:val="32"/>
        </w:rPr>
      </w:pPr>
      <w:r>
        <w:rPr>
          <w:rFonts w:ascii="仿宋_GB2312" w:hAnsi="仿宋_GB2312" w:cs="仿宋_GB2312"/>
          <w:szCs w:val="32"/>
        </w:rPr>
        <w:t>展览设计制作目标为</w:t>
      </w:r>
      <w:r>
        <w:rPr>
          <w:rFonts w:hint="eastAsia" w:ascii="仿宋_GB2312" w:hAnsi="仿宋_GB2312" w:cs="仿宋_GB2312"/>
          <w:szCs w:val="32"/>
        </w:rPr>
        <w:t>完成至少3项，实际完成1</w:t>
      </w:r>
      <w:r>
        <w:rPr>
          <w:rFonts w:ascii="仿宋_GB2312" w:hAnsi="仿宋_GB2312" w:cs="仿宋_GB2312"/>
          <w:szCs w:val="32"/>
        </w:rPr>
        <w:t>2</w:t>
      </w:r>
      <w:r>
        <w:rPr>
          <w:rFonts w:hint="eastAsia" w:ascii="仿宋_GB2312" w:hAnsi="仿宋_GB2312" w:cs="仿宋_GB2312"/>
          <w:szCs w:val="32"/>
        </w:rPr>
        <w:t>项，超额完成绩效目标；库房租赁5096.81㎡，实际完成5096.81㎡，与绩效目标一致；预算执行率目标为1</w:t>
      </w:r>
      <w:r>
        <w:rPr>
          <w:rFonts w:ascii="仿宋_GB2312" w:hAnsi="仿宋_GB2312" w:cs="仿宋_GB2312"/>
          <w:szCs w:val="32"/>
        </w:rPr>
        <w:t>00</w:t>
      </w:r>
      <w:r>
        <w:rPr>
          <w:rFonts w:hint="eastAsia" w:ascii="仿宋_GB2312" w:hAnsi="仿宋_GB2312" w:cs="仿宋_GB2312"/>
          <w:szCs w:val="32"/>
        </w:rPr>
        <w:t>%，</w:t>
      </w:r>
      <w:r>
        <w:rPr>
          <w:rFonts w:ascii="仿宋_GB2312" w:hAnsi="仿宋_GB2312" w:cs="仿宋_GB2312"/>
          <w:szCs w:val="32"/>
        </w:rPr>
        <w:t>实际完成</w:t>
      </w:r>
      <w:r>
        <w:rPr>
          <w:rFonts w:hint="eastAsia" w:ascii="仿宋_GB2312" w:hAnsi="仿宋_GB2312" w:cs="仿宋_GB2312"/>
          <w:szCs w:val="32"/>
        </w:rPr>
        <w:t>8</w:t>
      </w:r>
      <w:r>
        <w:rPr>
          <w:rFonts w:ascii="仿宋_GB2312" w:hAnsi="仿宋_GB2312" w:cs="仿宋_GB2312"/>
          <w:szCs w:val="32"/>
        </w:rPr>
        <w:t>1</w:t>
      </w:r>
      <w:r>
        <w:rPr>
          <w:rFonts w:hint="eastAsia" w:ascii="仿宋_GB2312" w:hAnsi="仿宋_GB2312" w:cs="仿宋_GB2312"/>
          <w:szCs w:val="32"/>
        </w:rPr>
        <w:t>%，低于绩效目标。</w:t>
      </w:r>
    </w:p>
    <w:p>
      <w:pPr>
        <w:snapToGrid w:val="0"/>
        <w:spacing w:line="580" w:lineRule="exact"/>
        <w:ind w:firstLine="600" w:firstLineChars="200"/>
        <w:outlineLvl w:val="0"/>
        <w:rPr>
          <w:rFonts w:ascii="仿宋_GB2312"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三、偏离绩效目标的原因和下一步改进措施</w:t>
      </w:r>
    </w:p>
    <w:p>
      <w:pPr>
        <w:snapToGrid w:val="0"/>
        <w:spacing w:line="580" w:lineRule="exact"/>
        <w:ind w:firstLine="60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</w:t>
      </w:r>
      <w:r>
        <w:rPr>
          <w:rFonts w:ascii="仿宋_GB2312"/>
          <w:szCs w:val="32"/>
        </w:rPr>
        <w:t>022年</w:t>
      </w:r>
      <w:r>
        <w:rPr>
          <w:rFonts w:hint="eastAsia" w:ascii="仿宋_GB2312"/>
          <w:szCs w:val="32"/>
        </w:rPr>
        <w:t>预算批复数6</w:t>
      </w:r>
      <w:r>
        <w:rPr>
          <w:rFonts w:ascii="仿宋_GB2312"/>
          <w:szCs w:val="32"/>
        </w:rPr>
        <w:t>69.00万元</w:t>
      </w:r>
      <w:r>
        <w:rPr>
          <w:rFonts w:hint="eastAsia" w:ascii="仿宋_GB2312"/>
          <w:szCs w:val="32"/>
        </w:rPr>
        <w:t>，预算执行数5</w:t>
      </w:r>
      <w:r>
        <w:rPr>
          <w:rFonts w:ascii="仿宋_GB2312"/>
          <w:szCs w:val="32"/>
        </w:rPr>
        <w:t>40</w:t>
      </w:r>
      <w:r>
        <w:rPr>
          <w:rFonts w:hint="eastAsia" w:ascii="仿宋_GB2312"/>
          <w:szCs w:val="32"/>
        </w:rPr>
        <w:t>.</w:t>
      </w:r>
      <w:r>
        <w:rPr>
          <w:rFonts w:ascii="仿宋_GB2312"/>
          <w:szCs w:val="32"/>
        </w:rPr>
        <w:t>00万元</w:t>
      </w:r>
      <w:r>
        <w:rPr>
          <w:rFonts w:hint="eastAsia" w:ascii="仿宋_GB2312"/>
          <w:szCs w:val="32"/>
        </w:rPr>
        <w:t>，</w:t>
      </w:r>
      <w:r>
        <w:rPr>
          <w:rFonts w:ascii="仿宋_GB2312"/>
          <w:szCs w:val="32"/>
        </w:rPr>
        <w:t>预算执行率为</w:t>
      </w:r>
      <w:r>
        <w:rPr>
          <w:rFonts w:hint="eastAsia" w:ascii="仿宋_GB2312"/>
          <w:szCs w:val="32"/>
        </w:rPr>
        <w:t>8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%，未完成预算支出1</w:t>
      </w:r>
      <w:r>
        <w:rPr>
          <w:rFonts w:ascii="仿宋_GB2312"/>
          <w:szCs w:val="32"/>
        </w:rPr>
        <w:t>29.</w:t>
      </w:r>
      <w:r>
        <w:rPr>
          <w:rFonts w:hint="eastAsia" w:ascii="仿宋_GB2312"/>
          <w:szCs w:val="32"/>
        </w:rPr>
        <w:t>0</w:t>
      </w:r>
      <w:r>
        <w:rPr>
          <w:rFonts w:ascii="仿宋_GB2312"/>
          <w:szCs w:val="32"/>
        </w:rPr>
        <w:t>0万元</w:t>
      </w:r>
      <w:r>
        <w:rPr>
          <w:rFonts w:hint="eastAsia" w:ascii="仿宋_GB2312"/>
          <w:szCs w:val="32"/>
        </w:rPr>
        <w:t>。产生结余资金的主要原因是受疫情影响，特别是年末闭馆及人员风控等原因，部分支出无法按计划执行。针对反映出的问题，下一步将加强预算编制的科学性，重点对各类风险因素进行事前评估论证，提出优化解决方案，加快预算执行进度，避免将资金集中在年末支付。</w:t>
      </w:r>
    </w:p>
    <w:p>
      <w:pPr>
        <w:snapToGrid w:val="0"/>
        <w:spacing w:line="580" w:lineRule="exact"/>
        <w:ind w:firstLine="600" w:firstLineChars="200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四、绩效自评结果拟应用和公开情况</w:t>
      </w:r>
    </w:p>
    <w:p>
      <w:pPr>
        <w:snapToGrid w:val="0"/>
        <w:spacing w:line="580" w:lineRule="exact"/>
        <w:ind w:firstLine="600" w:firstLineChars="200"/>
        <w:rPr>
          <w:rFonts w:ascii="仿宋_GB2312"/>
          <w:szCs w:val="32"/>
        </w:rPr>
      </w:pPr>
      <w:r>
        <w:rPr>
          <w:rFonts w:ascii="仿宋_GB2312"/>
          <w:szCs w:val="32"/>
        </w:rPr>
        <w:t>项目绩效自评情况随同年度决算草案一同公开</w:t>
      </w:r>
      <w:r>
        <w:rPr>
          <w:rFonts w:hint="eastAsia" w:ascii="仿宋_GB2312"/>
          <w:szCs w:val="32"/>
        </w:rPr>
        <w:t>。</w:t>
      </w:r>
    </w:p>
    <w:p>
      <w:pPr>
        <w:snapToGrid w:val="0"/>
        <w:spacing w:line="580" w:lineRule="exact"/>
        <w:ind w:firstLine="600" w:firstLineChars="200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五、其他需要说明的问题</w:t>
      </w:r>
    </w:p>
    <w:p>
      <w:pPr>
        <w:snapToGrid w:val="0"/>
        <w:spacing w:line="580" w:lineRule="exact"/>
        <w:ind w:firstLine="600" w:firstLineChars="200"/>
      </w:pPr>
      <w:r>
        <w:rPr>
          <w:rFonts w:hint="eastAsia"/>
        </w:rPr>
        <w:t>无。</w:t>
      </w:r>
      <w:bookmarkStart w:id="0" w:name="_GoBack"/>
      <w:bookmarkEnd w:id="0"/>
    </w:p>
    <w:p>
      <w:pPr>
        <w:snapToGrid w:val="0"/>
        <w:spacing w:line="580" w:lineRule="exact"/>
        <w:ind w:firstLine="600" w:firstLineChars="200"/>
        <w:rPr>
          <w:rFonts w:ascii="黑体" w:hAnsi="黑体" w:eastAsia="黑体" w:cs="黑体"/>
          <w:lang w:val="e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F82"/>
    <w:rsid w:val="00005F6D"/>
    <w:rsid w:val="000101E1"/>
    <w:rsid w:val="000732DA"/>
    <w:rsid w:val="00075CDC"/>
    <w:rsid w:val="000B1E8F"/>
    <w:rsid w:val="000B63C2"/>
    <w:rsid w:val="000B6964"/>
    <w:rsid w:val="000C7878"/>
    <w:rsid w:val="00103D16"/>
    <w:rsid w:val="00111638"/>
    <w:rsid w:val="00111928"/>
    <w:rsid w:val="0012041C"/>
    <w:rsid w:val="00164D84"/>
    <w:rsid w:val="00173016"/>
    <w:rsid w:val="0017509C"/>
    <w:rsid w:val="00177E13"/>
    <w:rsid w:val="001808CA"/>
    <w:rsid w:val="001A4E46"/>
    <w:rsid w:val="001E03FE"/>
    <w:rsid w:val="002123E8"/>
    <w:rsid w:val="002358AE"/>
    <w:rsid w:val="00250053"/>
    <w:rsid w:val="00284C85"/>
    <w:rsid w:val="0029569C"/>
    <w:rsid w:val="002A5FA7"/>
    <w:rsid w:val="002B3EEF"/>
    <w:rsid w:val="002B54E4"/>
    <w:rsid w:val="002E5562"/>
    <w:rsid w:val="002F6705"/>
    <w:rsid w:val="00301FC0"/>
    <w:rsid w:val="0032538D"/>
    <w:rsid w:val="00336A16"/>
    <w:rsid w:val="003663A3"/>
    <w:rsid w:val="00387DD5"/>
    <w:rsid w:val="003B0980"/>
    <w:rsid w:val="003C6374"/>
    <w:rsid w:val="003D2CB9"/>
    <w:rsid w:val="003E39F7"/>
    <w:rsid w:val="00413F12"/>
    <w:rsid w:val="00493012"/>
    <w:rsid w:val="004D2137"/>
    <w:rsid w:val="005A1A14"/>
    <w:rsid w:val="005D1514"/>
    <w:rsid w:val="005D7CC3"/>
    <w:rsid w:val="006218A1"/>
    <w:rsid w:val="006547BB"/>
    <w:rsid w:val="006608E4"/>
    <w:rsid w:val="0066590F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D7E6E"/>
    <w:rsid w:val="00850797"/>
    <w:rsid w:val="00853FC4"/>
    <w:rsid w:val="008720F1"/>
    <w:rsid w:val="00882EFA"/>
    <w:rsid w:val="008B2F56"/>
    <w:rsid w:val="008C5D8C"/>
    <w:rsid w:val="008F0996"/>
    <w:rsid w:val="0090324D"/>
    <w:rsid w:val="00903791"/>
    <w:rsid w:val="00917F6B"/>
    <w:rsid w:val="00931D64"/>
    <w:rsid w:val="009600BD"/>
    <w:rsid w:val="00961C83"/>
    <w:rsid w:val="00981BDC"/>
    <w:rsid w:val="0099132B"/>
    <w:rsid w:val="009922BC"/>
    <w:rsid w:val="009B1229"/>
    <w:rsid w:val="009E0D8C"/>
    <w:rsid w:val="00A02AF3"/>
    <w:rsid w:val="00A25077"/>
    <w:rsid w:val="00A610CC"/>
    <w:rsid w:val="00A8737E"/>
    <w:rsid w:val="00A873EB"/>
    <w:rsid w:val="00AA19AF"/>
    <w:rsid w:val="00BC6882"/>
    <w:rsid w:val="00BD3FE0"/>
    <w:rsid w:val="00BE58CF"/>
    <w:rsid w:val="00C2492C"/>
    <w:rsid w:val="00CA5578"/>
    <w:rsid w:val="00CA7DAA"/>
    <w:rsid w:val="00D04826"/>
    <w:rsid w:val="00D16C9F"/>
    <w:rsid w:val="00D27004"/>
    <w:rsid w:val="00D63908"/>
    <w:rsid w:val="00D8718A"/>
    <w:rsid w:val="00D93453"/>
    <w:rsid w:val="00DC524D"/>
    <w:rsid w:val="00E071D6"/>
    <w:rsid w:val="00ED3E0F"/>
    <w:rsid w:val="00F015E4"/>
    <w:rsid w:val="00F44736"/>
    <w:rsid w:val="00F57F82"/>
    <w:rsid w:val="00F75224"/>
    <w:rsid w:val="00F91EAE"/>
    <w:rsid w:val="00FA086C"/>
    <w:rsid w:val="00FA2093"/>
    <w:rsid w:val="00FA357A"/>
    <w:rsid w:val="037D0BC8"/>
    <w:rsid w:val="0845082D"/>
    <w:rsid w:val="09E965F2"/>
    <w:rsid w:val="0FF7AA4F"/>
    <w:rsid w:val="1060191A"/>
    <w:rsid w:val="139840D3"/>
    <w:rsid w:val="143E091F"/>
    <w:rsid w:val="14865FC8"/>
    <w:rsid w:val="150C2DB0"/>
    <w:rsid w:val="1A7D29EA"/>
    <w:rsid w:val="1D994BCF"/>
    <w:rsid w:val="1E761F05"/>
    <w:rsid w:val="1F7BE1E6"/>
    <w:rsid w:val="1FC7205C"/>
    <w:rsid w:val="228B3D05"/>
    <w:rsid w:val="284E74F8"/>
    <w:rsid w:val="2ADB48E8"/>
    <w:rsid w:val="36687282"/>
    <w:rsid w:val="367793B2"/>
    <w:rsid w:val="3794FC37"/>
    <w:rsid w:val="38EF7AD8"/>
    <w:rsid w:val="3E1672E6"/>
    <w:rsid w:val="3EB9C2BB"/>
    <w:rsid w:val="3FEF6A07"/>
    <w:rsid w:val="415F08D8"/>
    <w:rsid w:val="44E2230F"/>
    <w:rsid w:val="48B51347"/>
    <w:rsid w:val="491B45FA"/>
    <w:rsid w:val="4A55216A"/>
    <w:rsid w:val="4FE0696A"/>
    <w:rsid w:val="546F8569"/>
    <w:rsid w:val="55673508"/>
    <w:rsid w:val="59595A6F"/>
    <w:rsid w:val="597350B8"/>
    <w:rsid w:val="599330CA"/>
    <w:rsid w:val="5A7FCB1F"/>
    <w:rsid w:val="5FEAF7C9"/>
    <w:rsid w:val="60D5009F"/>
    <w:rsid w:val="64AC2E11"/>
    <w:rsid w:val="660721C9"/>
    <w:rsid w:val="661E6C75"/>
    <w:rsid w:val="67F75FF5"/>
    <w:rsid w:val="681D4831"/>
    <w:rsid w:val="692E4B19"/>
    <w:rsid w:val="69513EF7"/>
    <w:rsid w:val="6BF3256F"/>
    <w:rsid w:val="6CE7018A"/>
    <w:rsid w:val="6E3E3F2D"/>
    <w:rsid w:val="715B2F02"/>
    <w:rsid w:val="76A548F2"/>
    <w:rsid w:val="7765772E"/>
    <w:rsid w:val="776F5E62"/>
    <w:rsid w:val="77867685"/>
    <w:rsid w:val="77EE7FE7"/>
    <w:rsid w:val="781F36B6"/>
    <w:rsid w:val="790627AD"/>
    <w:rsid w:val="79DFF8C4"/>
    <w:rsid w:val="7ADC59FA"/>
    <w:rsid w:val="7AFF2FC3"/>
    <w:rsid w:val="7BF6B4C5"/>
    <w:rsid w:val="7DDD794F"/>
    <w:rsid w:val="7DFA6624"/>
    <w:rsid w:val="7DFD8AD7"/>
    <w:rsid w:val="7DFEFB95"/>
    <w:rsid w:val="7ECD6B9A"/>
    <w:rsid w:val="7FBA576D"/>
    <w:rsid w:val="7FDE47D5"/>
    <w:rsid w:val="7FFD003D"/>
    <w:rsid w:val="94BFC172"/>
    <w:rsid w:val="9BFA614C"/>
    <w:rsid w:val="BAFE1E17"/>
    <w:rsid w:val="BBDF5B5A"/>
    <w:rsid w:val="BBE428C2"/>
    <w:rsid w:val="BFBF52D7"/>
    <w:rsid w:val="DF6E82F1"/>
    <w:rsid w:val="DFCEE0CE"/>
    <w:rsid w:val="DFFF7077"/>
    <w:rsid w:val="EEBF76D9"/>
    <w:rsid w:val="F36EF6AC"/>
    <w:rsid w:val="F6FDCC0E"/>
    <w:rsid w:val="F767D450"/>
    <w:rsid w:val="F76FB1DB"/>
    <w:rsid w:val="F7FBEBBF"/>
    <w:rsid w:val="F9F3FBF0"/>
    <w:rsid w:val="FB9F8FA2"/>
    <w:rsid w:val="FDB5389F"/>
    <w:rsid w:val="FFAFB80B"/>
    <w:rsid w:val="FFF9F8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99"/>
    <w:rPr>
      <w:rFonts w:eastAsia="仿宋_GB2312"/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127</Words>
  <Characters>729</Characters>
  <Lines>6</Lines>
  <Paragraphs>1</Paragraphs>
  <TotalTime>257</TotalTime>
  <ScaleCrop>false</ScaleCrop>
  <LinksUpToDate>false</LinksUpToDate>
  <CharactersWithSpaces>855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2023-04-04T03:07:00Z</dcterms:created>
  <dc:creator>lhn</dc:creator>
  <cp:lastModifiedBy>15953</cp:lastModifiedBy>
  <cp:lastPrinted>2023-02-24T17:51:00Z</cp:lastPrinted>
  <dcterms:modified xsi:type="dcterms:W3CDTF">2023-08-23T03:29:35Z</dcterms:modified>
  <dc:title>财政支出绩效评价报告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C93DFFE2F5024EF88BDDF173722AD297</vt:lpwstr>
  </property>
</Properties>
</file>